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35" w:rsidRDefault="00586635">
      <w:pPr>
        <w:rPr>
          <w:b/>
        </w:rPr>
      </w:pPr>
      <w:bookmarkStart w:id="0" w:name="_GoBack"/>
      <w:bookmarkEnd w:id="0"/>
      <w:r>
        <w:rPr>
          <w:b/>
        </w:rPr>
        <w:t xml:space="preserve">Észak-magyarországi Régió </w:t>
      </w:r>
      <w:r>
        <w:rPr>
          <w:b/>
        </w:rPr>
        <w:tab/>
      </w:r>
      <w:r w:rsidR="006758C7" w:rsidRPr="001672D9">
        <w:rPr>
          <w:b/>
        </w:rPr>
        <w:t>2024 költségvetés</w:t>
      </w:r>
      <w:r w:rsidR="001672D9">
        <w:rPr>
          <w:b/>
        </w:rPr>
        <w:t xml:space="preserve"> </w:t>
      </w:r>
    </w:p>
    <w:p w:rsidR="004A7100" w:rsidRDefault="004A7100">
      <w:r>
        <w:t>A 2024-es évben 34 intézményre és 17 csoportra készült tervezés.</w:t>
      </w:r>
    </w:p>
    <w:p w:rsidR="004A7100" w:rsidRDefault="00B5067D">
      <w:r>
        <w:t xml:space="preserve">Ebben az évben két új intézménnyel bővül a régió, Tokajban egy Idős Otthon és Kiskörén Támogató szolgálat kezdi meg működését. </w:t>
      </w:r>
    </w:p>
    <w:p w:rsidR="004A7100" w:rsidRDefault="00B5067D">
      <w:r>
        <w:t>A régió munkatársainak létszáma az ellátásoknak megfelelően bővül, elérjük az 500 főt.</w:t>
      </w:r>
    </w:p>
    <w:p w:rsidR="00B5067D" w:rsidRDefault="00B5067D">
      <w:r>
        <w:t>Tanulóink létszáma lecsökken, mert májusban megkezdődnek a vizsgáik, s szerencsés esetben befejezik tanulmányaikat.</w:t>
      </w:r>
    </w:p>
    <w:p w:rsidR="00B5067D" w:rsidRDefault="00675292">
      <w:r>
        <w:t xml:space="preserve">2024-ben folytatódik a Tokaji pályázat, kültéri foglalkoztató készül, fűtéskorszerűsítés és eszközbeszerzések valósulnak be. </w:t>
      </w:r>
    </w:p>
    <w:p w:rsidR="00675292" w:rsidRDefault="00675292">
      <w:r>
        <w:t>A régióban eszközbeszerzéshez és ingatlanhoz kapcsolódó beruházások összesen 11</w:t>
      </w:r>
      <w:r w:rsidR="00FA71D7">
        <w:t>6</w:t>
      </w:r>
      <w:r>
        <w:t>.</w:t>
      </w:r>
      <w:r w:rsidR="00FA71D7">
        <w:t>375</w:t>
      </w:r>
      <w:r>
        <w:t>ezer Ft összegben kerültek tervezésre.</w:t>
      </w:r>
    </w:p>
    <w:p w:rsidR="00675292" w:rsidRDefault="00675292">
      <w:r>
        <w:rPr>
          <w:noProof/>
          <w:lang w:eastAsia="hu-HU"/>
        </w:rPr>
        <w:drawing>
          <wp:inline distT="0" distB="0" distL="0" distR="0" wp14:anchorId="37902043" wp14:editId="405EC660">
            <wp:extent cx="5705475" cy="28956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75292" w:rsidRDefault="00675292"/>
    <w:p w:rsidR="00675292" w:rsidRDefault="00117986">
      <w:r>
        <w:t>További k</w:t>
      </w:r>
      <w:r w:rsidR="00FA71D7">
        <w:t>öltségtervek:</w:t>
      </w:r>
    </w:p>
    <w:tbl>
      <w:tblPr>
        <w:tblW w:w="6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300"/>
        <w:gridCol w:w="523"/>
        <w:gridCol w:w="315"/>
      </w:tblGrid>
      <w:tr w:rsidR="00FA71D7" w:rsidRPr="00FA71D7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Irodaszer, irodatechnikai anyagok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7 085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FA71D7" w:rsidRPr="00FA71D7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Tisztítószerek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38 205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FA71D7" w:rsidRPr="00FA71D7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Élelmiszer alapanyag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197 904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FA71D7" w:rsidRPr="00FA71D7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Gyógyszerek,</w:t>
            </w:r>
            <w:r w:rsidR="0011798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Gyógyászati segédeszközök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50 795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FA71D7" w:rsidRPr="00FA71D7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Üzemanyagköltség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19 705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1D7" w:rsidRPr="00FA71D7" w:rsidRDefault="00FA71D7" w:rsidP="00FA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A71D7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FD3F53" w:rsidRPr="00FD3F53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Elektromos áram felhasználás költsége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130 465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FD3F53" w:rsidRPr="00FD3F53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Gáz fűtőanyag felhasználás költsége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120 805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FD3F53" w:rsidRPr="00FD3F53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Egyéb rezsiköltség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44 842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FD3F53" w:rsidRPr="00FD3F53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Karbantartással kapcsolatos anyagköltség és szolgáltatások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51 313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FD3F53" w:rsidRPr="00FD3F53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Szakfeladatellátáshoz kapcsolódó anyagok, felszerelések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24 270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FD3F53" w:rsidRPr="00FD3F53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Bérleti díjak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5 005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FD3F53" w:rsidRPr="00FD3F53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Kommunikációs  és</w:t>
            </w:r>
            <w:proofErr w:type="gramEnd"/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oktatási költségek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18 289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FD3F53" w:rsidRPr="00FD3F53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Szakfeladatellátással kapcsolatos szolgáltatások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161 852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FD3F53" w:rsidRPr="00FD3F53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Közmű és üzemeltetési költségek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85 756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FD3F53" w:rsidRPr="00FD3F53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Egyéb szolgáltatások, biztosítások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38 614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FD3F53" w:rsidRPr="00FD3F53" w:rsidTr="00FD3F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Munkabérek, járulékok, egyéb személyi jellegű kifizetések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2 623 596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F53" w:rsidRPr="00FD3F53" w:rsidRDefault="00FD3F53" w:rsidP="00FD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D3F53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9B37C1" w:rsidRPr="009B37C1" w:rsidTr="009B37C1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7C1" w:rsidRPr="009B37C1" w:rsidRDefault="009B37C1" w:rsidP="009B3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B37C1">
              <w:rPr>
                <w:rFonts w:ascii="Calibri" w:eastAsia="Times New Roman" w:hAnsi="Calibri" w:cs="Calibri"/>
                <w:color w:val="000000"/>
                <w:lang w:eastAsia="hu-HU"/>
              </w:rPr>
              <w:t>Adományok intézményi felhasználásra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7C1" w:rsidRPr="009B37C1" w:rsidRDefault="009B37C1" w:rsidP="009B3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B37C1">
              <w:rPr>
                <w:rFonts w:ascii="Calibri" w:eastAsia="Times New Roman" w:hAnsi="Calibri" w:cs="Calibri"/>
                <w:color w:val="000000"/>
                <w:lang w:eastAsia="hu-HU"/>
              </w:rPr>
              <w:t>22 309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7C1" w:rsidRPr="009B37C1" w:rsidRDefault="009B37C1" w:rsidP="009B3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B37C1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7C1" w:rsidRPr="009B37C1" w:rsidRDefault="009B37C1" w:rsidP="009B3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B37C1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</w:tbl>
    <w:p w:rsidR="00FD3F53" w:rsidRDefault="00FD3F53">
      <w:r>
        <w:rPr>
          <w:noProof/>
          <w:lang w:eastAsia="hu-HU"/>
        </w:rPr>
        <w:drawing>
          <wp:inline distT="0" distB="0" distL="0" distR="0" wp14:anchorId="336EC578" wp14:editId="2C4D2E06">
            <wp:extent cx="5543550" cy="26289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6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300"/>
        <w:gridCol w:w="523"/>
        <w:gridCol w:w="315"/>
      </w:tblGrid>
      <w:tr w:rsidR="00411D07" w:rsidRPr="00411D07" w:rsidTr="00411D07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Bevételek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11D07" w:rsidRPr="00411D07" w:rsidTr="00411D07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Térítési díj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961 076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411D07" w:rsidRPr="00411D07" w:rsidTr="00411D07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Normatív bevételek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2 439 286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411D07" w:rsidRPr="00411D07" w:rsidTr="00411D07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NEAK </w:t>
            </w:r>
            <w:proofErr w:type="gramStart"/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finanszírozás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409 920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411D07" w:rsidRPr="00411D07" w:rsidTr="00411D07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Önkormányzati támogatás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13 558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411D07" w:rsidRPr="00411D07" w:rsidTr="00411D07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Egyéb bevételek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91 800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411D07" w:rsidRPr="00411D07" w:rsidTr="00411D07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Pályázati bevétel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24 502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411D07" w:rsidRPr="00411D07" w:rsidTr="00411D07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Pénzeszközök kapott kamatai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40 838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411D07" w:rsidRPr="00411D07" w:rsidTr="00411D07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Természetbeni adományok magánszemélyek, közületek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21 969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07" w:rsidRPr="00411D07" w:rsidRDefault="00411D07" w:rsidP="004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1D07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  <w:tr w:rsidR="008B2B44" w:rsidRPr="008B2B44" w:rsidTr="008B2B4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44" w:rsidRPr="008B2B44" w:rsidRDefault="008B2B44" w:rsidP="008B2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B44">
              <w:rPr>
                <w:rFonts w:ascii="Calibri" w:eastAsia="Times New Roman" w:hAnsi="Calibri" w:cs="Calibri"/>
                <w:color w:val="000000"/>
                <w:lang w:eastAsia="hu-HU"/>
              </w:rPr>
              <w:t>Pénzbeli adományok közületek, magánszemélyek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44" w:rsidRPr="008B2B44" w:rsidRDefault="008B2B44" w:rsidP="008B2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B4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5 796 Ft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44" w:rsidRPr="008B2B44" w:rsidRDefault="008B2B44" w:rsidP="008B2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B44">
              <w:rPr>
                <w:rFonts w:ascii="Calibri" w:eastAsia="Times New Roman" w:hAnsi="Calibri" w:cs="Calibri"/>
                <w:color w:val="000000"/>
                <w:lang w:eastAsia="hu-HU"/>
              </w:rPr>
              <w:t>ezer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44" w:rsidRPr="008B2B44" w:rsidRDefault="008B2B44" w:rsidP="008B2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B44">
              <w:rPr>
                <w:rFonts w:ascii="Calibri" w:eastAsia="Times New Roman" w:hAnsi="Calibri" w:cs="Calibri"/>
                <w:color w:val="000000"/>
                <w:lang w:eastAsia="hu-HU"/>
              </w:rPr>
              <w:t>Ft</w:t>
            </w:r>
          </w:p>
        </w:tc>
      </w:tr>
    </w:tbl>
    <w:p w:rsidR="00FD3F53" w:rsidRDefault="00FD3F53"/>
    <w:p w:rsidR="00B5067D" w:rsidRPr="008B2B44" w:rsidRDefault="008B2B44" w:rsidP="008B2B44">
      <w:pPr>
        <w:spacing w:after="0"/>
        <w:rPr>
          <w:b/>
        </w:rPr>
      </w:pPr>
      <w:r w:rsidRPr="008B2B44">
        <w:rPr>
          <w:b/>
        </w:rPr>
        <w:t>Kiadás: 4.537.976.195 Ft</w:t>
      </w:r>
    </w:p>
    <w:p w:rsidR="008B2B44" w:rsidRPr="008B2B44" w:rsidRDefault="008B2B44" w:rsidP="008B2B44">
      <w:pPr>
        <w:spacing w:after="0"/>
        <w:rPr>
          <w:b/>
        </w:rPr>
      </w:pPr>
      <w:r w:rsidRPr="008B2B44">
        <w:rPr>
          <w:b/>
        </w:rPr>
        <w:t>Bevétel: 5.691.849.684 Ft</w:t>
      </w:r>
    </w:p>
    <w:p w:rsidR="008B2B44" w:rsidRPr="008B2B44" w:rsidRDefault="008B2B44">
      <w:pPr>
        <w:rPr>
          <w:b/>
        </w:rPr>
      </w:pPr>
      <w:r w:rsidRPr="008B2B44">
        <w:rPr>
          <w:b/>
        </w:rPr>
        <w:t>Egyenleg: 1.153.873.189 Ft</w:t>
      </w:r>
    </w:p>
    <w:p w:rsidR="00E032B1" w:rsidRPr="00411D07" w:rsidRDefault="006758C7" w:rsidP="00EE2990">
      <w:pPr>
        <w:jc w:val="both"/>
      </w:pPr>
      <w:r>
        <w:t xml:space="preserve">Fontos számunkra, hogy minél több rászoruló személynek </w:t>
      </w:r>
      <w:proofErr w:type="spellStart"/>
      <w:r>
        <w:t>nyújt</w:t>
      </w:r>
      <w:r w:rsidR="00EE2990">
        <w:t>sunk</w:t>
      </w:r>
      <w:proofErr w:type="spellEnd"/>
      <w:r w:rsidR="00EE2990">
        <w:t xml:space="preserve"> segítséget és támogatást</w:t>
      </w:r>
      <w:proofErr w:type="gramStart"/>
      <w:r w:rsidR="00EE2990">
        <w:t xml:space="preserve">, </w:t>
      </w:r>
      <w:r>
        <w:t xml:space="preserve"> ezért</w:t>
      </w:r>
      <w:proofErr w:type="gramEnd"/>
      <w:r>
        <w:t xml:space="preserve"> folyamatosan igyekszünk fejleszteni és bővíteni szolgáltatásainkat</w:t>
      </w:r>
    </w:p>
    <w:p w:rsidR="00E032B1" w:rsidRPr="00E032B1" w:rsidRDefault="00E032B1" w:rsidP="00EE2990">
      <w:pPr>
        <w:jc w:val="both"/>
      </w:pPr>
      <w:r>
        <w:t>A szervezet munkája nemcsak a rászorulók segítését célozza meg, hanem arra is törekszik, hogy hozzájáruljon a társadalmi összetartozás és szolidaritás erősítéséhez. A közösségi események, programok szervezése és a közösségi szolgálat lehetőségeinek biztosítása mind olyan módon szolgálja a közösség egységét, amely hosszú távon is pozitív hatással lehet az emberek életére és az egész régió fejlődésére</w:t>
      </w:r>
      <w:r w:rsidR="00411D07">
        <w:t>.</w:t>
      </w:r>
    </w:p>
    <w:sectPr w:rsidR="00E032B1" w:rsidRPr="00E03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C7"/>
    <w:rsid w:val="00117986"/>
    <w:rsid w:val="001672D9"/>
    <w:rsid w:val="001710C7"/>
    <w:rsid w:val="00411D07"/>
    <w:rsid w:val="004A7100"/>
    <w:rsid w:val="00504F67"/>
    <w:rsid w:val="00586635"/>
    <w:rsid w:val="00592B15"/>
    <w:rsid w:val="00675292"/>
    <w:rsid w:val="006758C7"/>
    <w:rsid w:val="008B2B44"/>
    <w:rsid w:val="009B37C1"/>
    <w:rsid w:val="00B50426"/>
    <w:rsid w:val="00B5067D"/>
    <w:rsid w:val="00DB663A"/>
    <w:rsid w:val="00E032B1"/>
    <w:rsid w:val="00EE2990"/>
    <w:rsid w:val="00FA71D7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D861-3DC9-44BE-ABAD-ADF5EE7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0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Local\Temp\Rar$DIa6704.17134.rartemp\inet_beruhazasok_2024_2024-04-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15.0.49\munkaugy\H%20ANDI\HegyesAndi\BESZ&#193;MOL&#211;\besz\2023\inet_fotabla_lekerdezes_20240417_22023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u-HU"/>
              <a:t>2024 Beruházások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Munka2!$B$1</c:f>
              <c:strCache>
                <c:ptCount val="1"/>
                <c:pt idx="0">
                  <c:v>Teljes összeg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Munka2!$A$2:$A$12</c:f>
              <c:strCache>
                <c:ptCount val="11"/>
                <c:pt idx="0">
                  <c:v>Ápolási Otthon</c:v>
                </c:pt>
                <c:pt idx="1">
                  <c:v>Ózd Biztos Kezdet Gyerekház</c:v>
                </c:pt>
                <c:pt idx="2">
                  <c:v>Régióközpont</c:v>
                </c:pt>
                <c:pt idx="3">
                  <c:v>Mezőkövesd </c:v>
                </c:pt>
                <c:pt idx="4">
                  <c:v>Miskolc Hajléktalanok Intézmények</c:v>
                </c:pt>
                <c:pt idx="5">
                  <c:v>Sátoraljaújhely</c:v>
                </c:pt>
                <c:pt idx="6">
                  <c:v>Tokaj </c:v>
                </c:pt>
                <c:pt idx="7">
                  <c:v>Miskolc - Idősek Otthona</c:v>
                </c:pt>
                <c:pt idx="8">
                  <c:v>Hatvan </c:v>
                </c:pt>
                <c:pt idx="9">
                  <c:v>Eger - Idősek Otthona</c:v>
                </c:pt>
                <c:pt idx="10">
                  <c:v>Salgótarján Időskorúak Otthona </c:v>
                </c:pt>
              </c:strCache>
            </c:strRef>
          </c:cat>
          <c:val>
            <c:numRef>
              <c:f>Munka2!$B$2:$B$12</c:f>
              <c:numCache>
                <c:formatCode>#,##0</c:formatCode>
                <c:ptCount val="11"/>
                <c:pt idx="0">
                  <c:v>4135000</c:v>
                </c:pt>
                <c:pt idx="1">
                  <c:v>70000</c:v>
                </c:pt>
                <c:pt idx="2">
                  <c:v>16025000</c:v>
                </c:pt>
                <c:pt idx="3">
                  <c:v>823000</c:v>
                </c:pt>
                <c:pt idx="4">
                  <c:v>3924000</c:v>
                </c:pt>
                <c:pt idx="5">
                  <c:v>1840000</c:v>
                </c:pt>
                <c:pt idx="6">
                  <c:v>44503000</c:v>
                </c:pt>
                <c:pt idx="7">
                  <c:v>782000</c:v>
                </c:pt>
                <c:pt idx="8">
                  <c:v>2118000</c:v>
                </c:pt>
                <c:pt idx="9">
                  <c:v>4232000</c:v>
                </c:pt>
                <c:pt idx="10">
                  <c:v>37526000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14-4107-86BA-06AFF4A1C7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26340016"/>
        <c:axId val="1926341264"/>
        <c:axId val="0"/>
      </c:bar3DChart>
      <c:catAx>
        <c:axId val="192634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26341264"/>
        <c:crosses val="autoZero"/>
        <c:auto val="1"/>
        <c:lblAlgn val="ctr"/>
        <c:lblOffset val="100"/>
        <c:noMultiLvlLbl val="0"/>
      </c:catAx>
      <c:valAx>
        <c:axId val="192634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26340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u-HU"/>
              <a:t>Ingatlanok fenntartási és üzemeltetési költségeinek megoszlása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055-4F86-8F7A-37A6AC35149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055-4F86-8F7A-37A6AC35149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8055-4F86-8F7A-37A6AC35149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055-4F86-8F7A-37A6AC35149B}"/>
              </c:ext>
            </c:extLst>
          </c:dPt>
          <c:dLbls>
            <c:dLbl>
              <c:idx val="1"/>
              <c:layout>
                <c:manualLayout>
                  <c:x val="0.22499999999999989"/>
                  <c:y val="-1.4593529590088588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55-4F86-8F7A-37A6AC3514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Munka4!$A$1:$A$4</c:f>
              <c:strCache>
                <c:ptCount val="4"/>
                <c:pt idx="0">
                  <c:v>Elektromos áram felhasználás költsége</c:v>
                </c:pt>
                <c:pt idx="1">
                  <c:v>Gáz fűtőanyag felhasználás költsége</c:v>
                </c:pt>
                <c:pt idx="2">
                  <c:v>Egyéb rezsiköltség</c:v>
                </c:pt>
                <c:pt idx="3">
                  <c:v>Közmű és üzemeltetési költségek</c:v>
                </c:pt>
              </c:strCache>
            </c:strRef>
          </c:cat>
          <c:val>
            <c:numRef>
              <c:f>Munka4!$B$1:$B$4</c:f>
              <c:numCache>
                <c:formatCode>#,##0</c:formatCode>
                <c:ptCount val="4"/>
                <c:pt idx="0">
                  <c:v>130465</c:v>
                </c:pt>
                <c:pt idx="1">
                  <c:v>120805</c:v>
                </c:pt>
                <c:pt idx="2">
                  <c:v>44842</c:v>
                </c:pt>
                <c:pt idx="3">
                  <c:v>85756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055-4F86-8F7A-37A6AC35149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2024-04-19T11:31:00Z</dcterms:created>
  <dcterms:modified xsi:type="dcterms:W3CDTF">2024-04-19T11:31:00Z</dcterms:modified>
</cp:coreProperties>
</file>