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C905" w14:textId="72E785BA" w:rsidR="00746180" w:rsidRPr="00963BA8" w:rsidRDefault="00963BA8" w:rsidP="004C2DBB">
      <w:pPr>
        <w:pStyle w:val="NormlWeb"/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Észak-magyarországi Régió</w:t>
      </w:r>
      <w:r w:rsidRPr="00963B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746180" w:rsidRPr="00963BA8">
        <w:rPr>
          <w:b/>
          <w:sz w:val="22"/>
          <w:szCs w:val="22"/>
        </w:rPr>
        <w:t>2023. évi pénzügyi beszámoló</w:t>
      </w:r>
      <w:r>
        <w:rPr>
          <w:b/>
          <w:sz w:val="22"/>
          <w:szCs w:val="22"/>
        </w:rPr>
        <w:t xml:space="preserve"> </w:t>
      </w:r>
    </w:p>
    <w:p w14:paraId="03676EC9" w14:textId="02621978" w:rsidR="0031687E" w:rsidRPr="0092682A" w:rsidRDefault="00EC7F81" w:rsidP="0019211B">
      <w:pPr>
        <w:pStyle w:val="NormlWeb"/>
        <w:spacing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A Magyar Máltai Szeretetszolgálat Észak-magyarországi régió</w:t>
      </w:r>
      <w:r w:rsidR="0031687E" w:rsidRPr="0092682A">
        <w:rPr>
          <w:sz w:val="22"/>
          <w:szCs w:val="22"/>
        </w:rPr>
        <w:t>ja</w:t>
      </w:r>
      <w:r w:rsidR="00763443" w:rsidRPr="0092682A">
        <w:rPr>
          <w:sz w:val="22"/>
          <w:szCs w:val="22"/>
        </w:rPr>
        <w:t xml:space="preserve"> 2023-ban</w:t>
      </w:r>
      <w:r w:rsidR="005A0961" w:rsidRPr="0092682A">
        <w:rPr>
          <w:sz w:val="22"/>
          <w:szCs w:val="22"/>
        </w:rPr>
        <w:t xml:space="preserve"> 30 intézményben, pályázat keretében</w:t>
      </w:r>
      <w:r w:rsidR="00F51955" w:rsidRPr="0092682A">
        <w:rPr>
          <w:sz w:val="22"/>
          <w:szCs w:val="22"/>
        </w:rPr>
        <w:t xml:space="preserve"> 3 helyszínen; valamint</w:t>
      </w:r>
      <w:r w:rsidR="0031687E" w:rsidRPr="0092682A">
        <w:rPr>
          <w:sz w:val="22"/>
          <w:szCs w:val="22"/>
        </w:rPr>
        <w:t xml:space="preserve"> 17 csoporttal és </w:t>
      </w:r>
      <w:r w:rsidR="005A0961" w:rsidRPr="0092682A">
        <w:rPr>
          <w:sz w:val="22"/>
          <w:szCs w:val="22"/>
        </w:rPr>
        <w:t xml:space="preserve">a régióközpont háttértámogatásával </w:t>
      </w:r>
      <w:r w:rsidRPr="0092682A">
        <w:rPr>
          <w:sz w:val="22"/>
          <w:szCs w:val="22"/>
        </w:rPr>
        <w:t>számtalan fontos feladatot lát</w:t>
      </w:r>
      <w:r w:rsidR="00763443" w:rsidRPr="0092682A">
        <w:rPr>
          <w:sz w:val="22"/>
          <w:szCs w:val="22"/>
        </w:rPr>
        <w:t>ott</w:t>
      </w:r>
      <w:r w:rsidRPr="0092682A">
        <w:rPr>
          <w:sz w:val="22"/>
          <w:szCs w:val="22"/>
        </w:rPr>
        <w:t xml:space="preserve"> el a </w:t>
      </w:r>
      <w:r w:rsidR="005A0961" w:rsidRPr="0092682A">
        <w:rPr>
          <w:sz w:val="22"/>
          <w:szCs w:val="22"/>
        </w:rPr>
        <w:t xml:space="preserve">régió településein. </w:t>
      </w:r>
    </w:p>
    <w:p w14:paraId="6736EC6D" w14:textId="6FCC4754" w:rsidR="00120A76" w:rsidRPr="0092682A" w:rsidRDefault="00120A76" w:rsidP="0019211B">
      <w:pPr>
        <w:pStyle w:val="NormlWeb"/>
        <w:spacing w:after="0" w:afterAutospacing="0" w:line="276" w:lineRule="auto"/>
        <w:jc w:val="both"/>
        <w:rPr>
          <w:sz w:val="22"/>
          <w:szCs w:val="22"/>
        </w:rPr>
      </w:pPr>
      <w:proofErr w:type="spellStart"/>
      <w:r w:rsidRPr="0092682A">
        <w:rPr>
          <w:sz w:val="22"/>
          <w:szCs w:val="22"/>
        </w:rPr>
        <w:t>Régiónkban</w:t>
      </w:r>
      <w:proofErr w:type="spellEnd"/>
      <w:r w:rsidRPr="0092682A">
        <w:rPr>
          <w:sz w:val="22"/>
          <w:szCs w:val="22"/>
        </w:rPr>
        <w:t xml:space="preserve"> három "Biztos Kezdet Gyerekház" és három tanoda intézményi formában működik, s kiemelt fontossággal bír a gyerekek számára. Ezek az intézmények nem csupán tanulási és fejlesztési célokat szolgálnak, hanem segítenek a gyerekeknek abban is, hogy személyes </w:t>
      </w:r>
      <w:proofErr w:type="gramStart"/>
      <w:r w:rsidRPr="0092682A">
        <w:rPr>
          <w:sz w:val="22"/>
          <w:szCs w:val="22"/>
        </w:rPr>
        <w:t>problémáikat</w:t>
      </w:r>
      <w:proofErr w:type="gramEnd"/>
      <w:r w:rsidRPr="0092682A">
        <w:rPr>
          <w:sz w:val="22"/>
          <w:szCs w:val="22"/>
        </w:rPr>
        <w:t xml:space="preserve"> kezeljék, kommunikációs képességeiket fejlesszék és konfliktusokat oldjanak meg. Mind a Biztos Kezdet Gyerekházak, mind a tanodák olyan szakemberekkel dolgoznak, akik képesek megérteni és támogatni a gyerekeket, különféle nehézségeikkel együtt. Ezek az intézmények biztonságos és szeretetteljes környezettel várják a gyerekeket, s családjaikat is.</w:t>
      </w:r>
    </w:p>
    <w:p w14:paraId="6D937556" w14:textId="4E932A06" w:rsidR="0031687E" w:rsidRPr="0092682A" w:rsidRDefault="00FE6C60" w:rsidP="004C2DBB">
      <w:pPr>
        <w:pStyle w:val="NormlWeb"/>
        <w:spacing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A Máltai Játszóház-J</w:t>
      </w:r>
      <w:r w:rsidR="008515FE" w:rsidRPr="0092682A">
        <w:rPr>
          <w:sz w:val="22"/>
          <w:szCs w:val="22"/>
        </w:rPr>
        <w:t xml:space="preserve">átszótér az Avason működik, melyet előszeretettel látogatnak egész kicsi kortól, a középiskolásokig. Ők sok esetben a Játszótéren felnőtt visszajáró gyerekek, akik önkéntesként segítik az ott dolgozó 3 munkatársunk munkáját a szervezett programokon. </w:t>
      </w:r>
    </w:p>
    <w:p w14:paraId="38F7744F" w14:textId="261B6B88" w:rsidR="002A162B" w:rsidRPr="0092682A" w:rsidRDefault="00FE6C60" w:rsidP="004C2DBB">
      <w:pPr>
        <w:pStyle w:val="NormlWeb"/>
        <w:spacing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Borsod és Heves megyében két</w:t>
      </w:r>
      <w:r w:rsidR="002A162B" w:rsidRPr="0092682A">
        <w:rPr>
          <w:sz w:val="22"/>
          <w:szCs w:val="22"/>
        </w:rPr>
        <w:t xml:space="preserve"> fogyatékos nappali ellátást és három támogató szolgálatot működtetünk.</w:t>
      </w:r>
    </w:p>
    <w:p w14:paraId="542AD283" w14:textId="0C8E304B" w:rsidR="001F4514" w:rsidRPr="0092682A" w:rsidRDefault="00FE6C60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A fogyatékos </w:t>
      </w:r>
      <w:r w:rsidR="001F4514" w:rsidRPr="0092682A">
        <w:rPr>
          <w:sz w:val="22"/>
          <w:szCs w:val="22"/>
        </w:rPr>
        <w:t>nappali ellátás keretében szakképzett személyzet végez személyre szabott gondozást, fejlesztést és terápiát a</w:t>
      </w:r>
      <w:r w:rsidR="000855B0" w:rsidRPr="0092682A">
        <w:rPr>
          <w:sz w:val="22"/>
          <w:szCs w:val="22"/>
        </w:rPr>
        <w:t>z ellátást igénybe vevők</w:t>
      </w:r>
      <w:r w:rsidR="001F4514" w:rsidRPr="0092682A">
        <w:rPr>
          <w:sz w:val="22"/>
          <w:szCs w:val="22"/>
        </w:rPr>
        <w:t xml:space="preserve"> számára. Ezen kívül számos programot szerveznek, amelyek segítik a résztvevők szociális kapcsolatainak ápolását és képességeik fejlesztését.</w:t>
      </w:r>
    </w:p>
    <w:p w14:paraId="34C0668C" w14:textId="7EC002EA" w:rsidR="001F4514" w:rsidRPr="0092682A" w:rsidRDefault="000855B0" w:rsidP="004C2DBB">
      <w:pPr>
        <w:pStyle w:val="NormlWeb"/>
        <w:spacing w:before="0" w:before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Fontos, hogy a</w:t>
      </w:r>
      <w:r w:rsidR="001F4514" w:rsidRPr="0092682A">
        <w:rPr>
          <w:sz w:val="22"/>
          <w:szCs w:val="22"/>
        </w:rPr>
        <w:t xml:space="preserve"> nappali ellátás a fogyatékos emberek egyéni szükségleteire és kívánságaira szabott legyen, és lehetőséget biztosítson számukra a lehető legteljesebb életminőség elérésére.</w:t>
      </w:r>
    </w:p>
    <w:p w14:paraId="754B5905" w14:textId="273CC9F0" w:rsidR="008515FE" w:rsidRPr="0092682A" w:rsidRDefault="002A162B" w:rsidP="004C2DBB">
      <w:pPr>
        <w:pStyle w:val="NormlWeb"/>
        <w:spacing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A támogató szolgálatok segítséget nyújtanak a fogyatékos embereknek és családjuknak a mindennapokban az önálló életvitelhez.</w:t>
      </w:r>
      <w:r w:rsidR="00906DB6" w:rsidRPr="0092682A">
        <w:rPr>
          <w:sz w:val="22"/>
          <w:szCs w:val="22"/>
        </w:rPr>
        <w:t xml:space="preserve"> </w:t>
      </w:r>
    </w:p>
    <w:p w14:paraId="2664DAFB" w14:textId="25CAB66F" w:rsidR="00FE6C60" w:rsidRPr="0092682A" w:rsidRDefault="00FE6C60" w:rsidP="004C2DBB">
      <w:pPr>
        <w:pStyle w:val="NormlWeb"/>
        <w:spacing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A hajléktalan ellátásra </w:t>
      </w:r>
      <w:proofErr w:type="spellStart"/>
      <w:r w:rsidRPr="0092682A">
        <w:rPr>
          <w:sz w:val="22"/>
          <w:szCs w:val="22"/>
        </w:rPr>
        <w:t>régiónkban</w:t>
      </w:r>
      <w:proofErr w:type="spellEnd"/>
      <w:r w:rsidRPr="0092682A">
        <w:rPr>
          <w:sz w:val="22"/>
          <w:szCs w:val="22"/>
        </w:rPr>
        <w:t xml:space="preserve"> nagy hangsúlyt fektetünk.</w:t>
      </w:r>
    </w:p>
    <w:p w14:paraId="43D91B88" w14:textId="7BFB4D65" w:rsidR="00FE6C60" w:rsidRPr="0092682A" w:rsidRDefault="0031613A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Egy </w:t>
      </w:r>
      <w:r w:rsidR="009801E4" w:rsidRPr="0092682A">
        <w:rPr>
          <w:sz w:val="22"/>
          <w:szCs w:val="22"/>
        </w:rPr>
        <w:t>h</w:t>
      </w:r>
      <w:r w:rsidR="000F0C2D" w:rsidRPr="0092682A">
        <w:rPr>
          <w:sz w:val="22"/>
          <w:szCs w:val="22"/>
        </w:rPr>
        <w:t>ajléktalanok átmeneti szálló</w:t>
      </w:r>
      <w:r w:rsidRPr="0092682A">
        <w:rPr>
          <w:sz w:val="22"/>
          <w:szCs w:val="22"/>
        </w:rPr>
        <w:t>ja</w:t>
      </w:r>
      <w:r w:rsidR="00FE6C60" w:rsidRPr="0092682A">
        <w:rPr>
          <w:sz w:val="22"/>
          <w:szCs w:val="22"/>
        </w:rPr>
        <w:t xml:space="preserve">, </w:t>
      </w:r>
      <w:r w:rsidRPr="0092682A">
        <w:rPr>
          <w:sz w:val="22"/>
          <w:szCs w:val="22"/>
        </w:rPr>
        <w:t>4 nappali melegedő</w:t>
      </w:r>
      <w:r w:rsidR="00FE6C60" w:rsidRPr="0092682A">
        <w:rPr>
          <w:sz w:val="22"/>
          <w:szCs w:val="22"/>
        </w:rPr>
        <w:t>,</w:t>
      </w:r>
      <w:r w:rsidRPr="0092682A">
        <w:rPr>
          <w:sz w:val="22"/>
          <w:szCs w:val="22"/>
        </w:rPr>
        <w:t xml:space="preserve"> 2</w:t>
      </w:r>
      <w:r w:rsidR="00FE6C60" w:rsidRPr="0092682A">
        <w:rPr>
          <w:sz w:val="22"/>
          <w:szCs w:val="22"/>
        </w:rPr>
        <w:t xml:space="preserve"> éjjeli menedékhely, </w:t>
      </w:r>
      <w:r w:rsidRPr="0092682A">
        <w:rPr>
          <w:sz w:val="22"/>
          <w:szCs w:val="22"/>
        </w:rPr>
        <w:t xml:space="preserve">2 időszakos férőhely, 2 </w:t>
      </w:r>
      <w:r w:rsidR="00FE6C60" w:rsidRPr="0092682A">
        <w:rPr>
          <w:sz w:val="22"/>
          <w:szCs w:val="22"/>
        </w:rPr>
        <w:t xml:space="preserve">utcai gondozószolgálat, </w:t>
      </w:r>
      <w:r w:rsidRPr="0092682A">
        <w:rPr>
          <w:sz w:val="22"/>
          <w:szCs w:val="22"/>
        </w:rPr>
        <w:t>1 diszpécser szolgálat és 1</w:t>
      </w:r>
      <w:r w:rsidR="00FE6C60" w:rsidRPr="0092682A">
        <w:rPr>
          <w:sz w:val="22"/>
          <w:szCs w:val="22"/>
        </w:rPr>
        <w:t xml:space="preserve"> népkonyha</w:t>
      </w:r>
      <w:r w:rsidR="000F0C2D" w:rsidRPr="0092682A">
        <w:rPr>
          <w:sz w:val="22"/>
          <w:szCs w:val="22"/>
        </w:rPr>
        <w:t xml:space="preserve"> működik négy városban</w:t>
      </w:r>
      <w:r w:rsidR="009801E4" w:rsidRPr="0092682A">
        <w:rPr>
          <w:sz w:val="22"/>
          <w:szCs w:val="22"/>
        </w:rPr>
        <w:t>.</w:t>
      </w:r>
    </w:p>
    <w:p w14:paraId="7AE22897" w14:textId="73332A51" w:rsidR="009801E4" w:rsidRPr="0092682A" w:rsidRDefault="009801E4" w:rsidP="004C2DBB">
      <w:pPr>
        <w:pStyle w:val="NormlWeb"/>
        <w:spacing w:before="0" w:before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A hajléktalanellátás elsődleges célja </w:t>
      </w:r>
      <w:r w:rsidR="00C21529" w:rsidRPr="0092682A">
        <w:rPr>
          <w:sz w:val="22"/>
          <w:szCs w:val="22"/>
        </w:rPr>
        <w:t xml:space="preserve">a társadalom egyik legsebezhetőbb csoportjának, </w:t>
      </w:r>
      <w:r w:rsidRPr="0092682A">
        <w:rPr>
          <w:sz w:val="22"/>
          <w:szCs w:val="22"/>
        </w:rPr>
        <w:t xml:space="preserve">az otthon nélküli emberek </w:t>
      </w:r>
      <w:r w:rsidR="000855B0" w:rsidRPr="0092682A">
        <w:rPr>
          <w:sz w:val="22"/>
          <w:szCs w:val="22"/>
        </w:rPr>
        <w:t>támogatása</w:t>
      </w:r>
      <w:r w:rsidRPr="0092682A">
        <w:rPr>
          <w:sz w:val="22"/>
          <w:szCs w:val="22"/>
        </w:rPr>
        <w:t xml:space="preserve">, segítve őket az alapvető szükségleteik kielégítésében, ideértve az étkezést, ruházatot, egészségügyi ellátást és szállást is. </w:t>
      </w:r>
      <w:r w:rsidR="00C21529" w:rsidRPr="0092682A">
        <w:rPr>
          <w:sz w:val="22"/>
          <w:szCs w:val="22"/>
        </w:rPr>
        <w:t>Munkatársaink</w:t>
      </w:r>
      <w:r w:rsidRPr="0092682A">
        <w:rPr>
          <w:sz w:val="22"/>
          <w:szCs w:val="22"/>
        </w:rPr>
        <w:t xml:space="preserve"> segítséget nyújtanak az álláskeresésben, oktatásban, rehabilitációban és az önálló életvitelre való felkészülésben is. </w:t>
      </w:r>
    </w:p>
    <w:p w14:paraId="0FCE9E7C" w14:textId="77777777" w:rsidR="003E679A" w:rsidRPr="0092682A" w:rsidRDefault="00695AA8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Fenntartásunkban van</w:t>
      </w:r>
      <w:r w:rsidR="00CB4225" w:rsidRPr="0092682A">
        <w:rPr>
          <w:sz w:val="22"/>
          <w:szCs w:val="22"/>
        </w:rPr>
        <w:t xml:space="preserve"> </w:t>
      </w:r>
      <w:r w:rsidRPr="0092682A">
        <w:rPr>
          <w:sz w:val="22"/>
          <w:szCs w:val="22"/>
        </w:rPr>
        <w:t>egészségügyi intézmény és 4 idős otthon</w:t>
      </w:r>
      <w:r w:rsidR="00CB4225" w:rsidRPr="0092682A">
        <w:rPr>
          <w:sz w:val="22"/>
          <w:szCs w:val="22"/>
        </w:rPr>
        <w:t>, amelyek segítségével gondoskodunk az idősebb korosztá</w:t>
      </w:r>
      <w:r w:rsidR="003E679A" w:rsidRPr="0092682A">
        <w:rPr>
          <w:sz w:val="22"/>
          <w:szCs w:val="22"/>
        </w:rPr>
        <w:t xml:space="preserve">ly egészségéről és jólétéről, s minden esetben egyénre szabott gondozást, ápolást biztosítanak számukra. </w:t>
      </w:r>
    </w:p>
    <w:p w14:paraId="2A5C97AE" w14:textId="6D86002D" w:rsidR="00C21529" w:rsidRPr="0092682A" w:rsidRDefault="00CB4225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Az idős otthonok</w:t>
      </w:r>
      <w:r w:rsidR="00C21529" w:rsidRPr="0092682A">
        <w:rPr>
          <w:sz w:val="22"/>
          <w:szCs w:val="22"/>
        </w:rPr>
        <w:t>ban</w:t>
      </w:r>
      <w:r w:rsidR="003E679A" w:rsidRPr="0092682A">
        <w:rPr>
          <w:sz w:val="22"/>
          <w:szCs w:val="22"/>
        </w:rPr>
        <w:t xml:space="preserve"> és az ápolási otthonban</w:t>
      </w:r>
      <w:r w:rsidR="00C21529" w:rsidRPr="0092682A">
        <w:rPr>
          <w:sz w:val="22"/>
          <w:szCs w:val="22"/>
        </w:rPr>
        <w:t xml:space="preserve"> sokféle </w:t>
      </w:r>
      <w:r w:rsidRPr="0092682A">
        <w:rPr>
          <w:sz w:val="22"/>
          <w:szCs w:val="22"/>
        </w:rPr>
        <w:t>programot szerveznek</w:t>
      </w:r>
      <w:r w:rsidR="003E679A" w:rsidRPr="0092682A">
        <w:rPr>
          <w:sz w:val="22"/>
          <w:szCs w:val="22"/>
        </w:rPr>
        <w:t xml:space="preserve"> a</w:t>
      </w:r>
      <w:r w:rsidRPr="0092682A">
        <w:rPr>
          <w:sz w:val="22"/>
          <w:szCs w:val="22"/>
        </w:rPr>
        <w:t xml:space="preserve"> lakó</w:t>
      </w:r>
      <w:r w:rsidR="003E679A" w:rsidRPr="0092682A">
        <w:rPr>
          <w:sz w:val="22"/>
          <w:szCs w:val="22"/>
        </w:rPr>
        <w:t xml:space="preserve">k és ellátottak </w:t>
      </w:r>
      <w:r w:rsidRPr="0092682A">
        <w:rPr>
          <w:sz w:val="22"/>
          <w:szCs w:val="22"/>
        </w:rPr>
        <w:t>számára.</w:t>
      </w:r>
    </w:p>
    <w:p w14:paraId="74AAD19B" w14:textId="4BDCFF25" w:rsidR="00C21529" w:rsidRPr="0092682A" w:rsidRDefault="00F90DD3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Lelkigondozás, Hitélet és Vallásgyakorlás; Kulturális és Ünnepi programok; </w:t>
      </w:r>
      <w:r w:rsidR="00C21529" w:rsidRPr="0092682A">
        <w:rPr>
          <w:sz w:val="22"/>
          <w:szCs w:val="22"/>
        </w:rPr>
        <w:t>Kézműves foglalkozások</w:t>
      </w:r>
      <w:r w:rsidRPr="0092682A">
        <w:rPr>
          <w:sz w:val="22"/>
          <w:szCs w:val="22"/>
        </w:rPr>
        <w:t xml:space="preserve">; </w:t>
      </w:r>
      <w:r w:rsidR="00C21529" w:rsidRPr="0092682A">
        <w:rPr>
          <w:sz w:val="22"/>
          <w:szCs w:val="22"/>
        </w:rPr>
        <w:t>Mozgás</w:t>
      </w:r>
      <w:r w:rsidR="003E679A" w:rsidRPr="0092682A">
        <w:rPr>
          <w:sz w:val="22"/>
          <w:szCs w:val="22"/>
        </w:rPr>
        <w:t xml:space="preserve"> és életmód</w:t>
      </w:r>
      <w:r w:rsidR="00C21529" w:rsidRPr="0092682A">
        <w:rPr>
          <w:sz w:val="22"/>
          <w:szCs w:val="22"/>
        </w:rPr>
        <w:t>progra</w:t>
      </w:r>
      <w:r w:rsidRPr="0092682A">
        <w:rPr>
          <w:sz w:val="22"/>
          <w:szCs w:val="22"/>
        </w:rPr>
        <w:t xml:space="preserve">mok; </w:t>
      </w:r>
      <w:r w:rsidR="00C21529" w:rsidRPr="0092682A">
        <w:rPr>
          <w:sz w:val="22"/>
          <w:szCs w:val="22"/>
        </w:rPr>
        <w:t>Beszélgetős klubok</w:t>
      </w:r>
      <w:r w:rsidRPr="0092682A">
        <w:rPr>
          <w:sz w:val="22"/>
          <w:szCs w:val="22"/>
        </w:rPr>
        <w:t xml:space="preserve">; </w:t>
      </w:r>
    </w:p>
    <w:p w14:paraId="3AB073FC" w14:textId="5D2E26DB" w:rsidR="00C21529" w:rsidRPr="0092682A" w:rsidRDefault="00C21529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Ezek a </w:t>
      </w:r>
      <w:r w:rsidR="00120A76" w:rsidRPr="0092682A">
        <w:rPr>
          <w:sz w:val="22"/>
          <w:szCs w:val="22"/>
        </w:rPr>
        <w:t>programok</w:t>
      </w:r>
      <w:r w:rsidR="003E679A" w:rsidRPr="0092682A">
        <w:rPr>
          <w:sz w:val="22"/>
          <w:szCs w:val="22"/>
        </w:rPr>
        <w:t xml:space="preserve"> fontos részét képezik az</w:t>
      </w:r>
      <w:r w:rsidRPr="0092682A">
        <w:rPr>
          <w:sz w:val="22"/>
          <w:szCs w:val="22"/>
        </w:rPr>
        <w:t xml:space="preserve"> otthonok minden</w:t>
      </w:r>
      <w:r w:rsidR="003E679A" w:rsidRPr="0092682A">
        <w:rPr>
          <w:sz w:val="22"/>
          <w:szCs w:val="22"/>
        </w:rPr>
        <w:t>napi életének és hozzájárulna</w:t>
      </w:r>
      <w:r w:rsidRPr="0092682A">
        <w:rPr>
          <w:sz w:val="22"/>
          <w:szCs w:val="22"/>
        </w:rPr>
        <w:t xml:space="preserve">k </w:t>
      </w:r>
      <w:r w:rsidR="003E679A" w:rsidRPr="0092682A">
        <w:rPr>
          <w:sz w:val="22"/>
          <w:szCs w:val="22"/>
        </w:rPr>
        <w:t xml:space="preserve">a </w:t>
      </w:r>
      <w:r w:rsidRPr="0092682A">
        <w:rPr>
          <w:sz w:val="22"/>
          <w:szCs w:val="22"/>
        </w:rPr>
        <w:t>fizikai</w:t>
      </w:r>
      <w:r w:rsidR="003E679A" w:rsidRPr="0092682A">
        <w:rPr>
          <w:sz w:val="22"/>
          <w:szCs w:val="22"/>
        </w:rPr>
        <w:t>, szellemi és lelki egészség</w:t>
      </w:r>
      <w:r w:rsidRPr="0092682A">
        <w:rPr>
          <w:sz w:val="22"/>
          <w:szCs w:val="22"/>
        </w:rPr>
        <w:t xml:space="preserve"> megőrzéséhez</w:t>
      </w:r>
      <w:r w:rsidR="00695AA8" w:rsidRPr="0092682A">
        <w:rPr>
          <w:sz w:val="22"/>
          <w:szCs w:val="22"/>
        </w:rPr>
        <w:t>.</w:t>
      </w:r>
    </w:p>
    <w:p w14:paraId="06CC5D6F" w14:textId="77777777" w:rsidR="003E679A" w:rsidRPr="0092682A" w:rsidRDefault="003E679A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95390DB" w14:textId="71AAB49F" w:rsidR="00C21529" w:rsidRPr="0092682A" w:rsidRDefault="00120A76" w:rsidP="0092682A">
      <w:pPr>
        <w:pStyle w:val="NormlWeb"/>
        <w:spacing w:before="0" w:before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A munkatársak hozzáállása és szakmai felkészültsége </w:t>
      </w:r>
      <w:proofErr w:type="gramStart"/>
      <w:r w:rsidRPr="0092682A">
        <w:rPr>
          <w:sz w:val="22"/>
          <w:szCs w:val="22"/>
        </w:rPr>
        <w:t>garancia</w:t>
      </w:r>
      <w:proofErr w:type="gramEnd"/>
      <w:r w:rsidRPr="0092682A">
        <w:rPr>
          <w:sz w:val="22"/>
          <w:szCs w:val="22"/>
        </w:rPr>
        <w:t xml:space="preserve"> arra, hogy az idős otthonokban és az egészségügyi intézményben ellátottak a legjobb körülmények között és a legjobb kezekben </w:t>
      </w:r>
      <w:r w:rsidR="00695AA8" w:rsidRPr="0092682A">
        <w:rPr>
          <w:sz w:val="22"/>
          <w:szCs w:val="22"/>
        </w:rPr>
        <w:t>legyenek</w:t>
      </w:r>
      <w:r w:rsidRPr="0092682A">
        <w:rPr>
          <w:sz w:val="22"/>
          <w:szCs w:val="22"/>
        </w:rPr>
        <w:t xml:space="preserve">. Az intézmények fő célja az, hogy a hozzájuk </w:t>
      </w:r>
      <w:r w:rsidR="00695AA8" w:rsidRPr="0092682A">
        <w:rPr>
          <w:sz w:val="22"/>
          <w:szCs w:val="22"/>
        </w:rPr>
        <w:t xml:space="preserve">bizalommal </w:t>
      </w:r>
      <w:r w:rsidRPr="0092682A">
        <w:rPr>
          <w:sz w:val="22"/>
          <w:szCs w:val="22"/>
        </w:rPr>
        <w:t xml:space="preserve">forduló idősek és betegek minél </w:t>
      </w:r>
      <w:r w:rsidR="00695AA8" w:rsidRPr="0092682A">
        <w:rPr>
          <w:sz w:val="22"/>
          <w:szCs w:val="22"/>
        </w:rPr>
        <w:t>jobb minőségű életet élhessenek.</w:t>
      </w:r>
    </w:p>
    <w:p w14:paraId="5435C174" w14:textId="47B7BA57" w:rsidR="007F2535" w:rsidRPr="0092682A" w:rsidRDefault="00170DEB" w:rsidP="004C2DBB">
      <w:pPr>
        <w:pStyle w:val="NormlWeb"/>
        <w:spacing w:before="0" w:before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2016.11.01-én indult </w:t>
      </w:r>
      <w:proofErr w:type="gramStart"/>
      <w:r w:rsidRPr="0092682A">
        <w:rPr>
          <w:sz w:val="22"/>
          <w:szCs w:val="22"/>
        </w:rPr>
        <w:t>a</w:t>
      </w:r>
      <w:proofErr w:type="gramEnd"/>
      <w:r w:rsidRPr="0092682A">
        <w:rPr>
          <w:sz w:val="22"/>
          <w:szCs w:val="22"/>
        </w:rPr>
        <w:t xml:space="preserve"> ,,Társadalmi integrációt elősegítő beavatkozások a Vasgyárban" című projektünk</w:t>
      </w:r>
      <w:r w:rsidR="00EE2B1E" w:rsidRPr="0092682A">
        <w:rPr>
          <w:sz w:val="22"/>
          <w:szCs w:val="22"/>
        </w:rPr>
        <w:t xml:space="preserve"> 2023.03.31-én 125.913 ezer forint támogatás felhasználásával lezárult.</w:t>
      </w:r>
    </w:p>
    <w:p w14:paraId="42196DFC" w14:textId="720C12AF" w:rsidR="00962E19" w:rsidRPr="0092682A" w:rsidRDefault="00EE2B1E" w:rsidP="004C2DBB">
      <w:pPr>
        <w:pStyle w:val="NormlWeb"/>
        <w:spacing w:before="0" w:before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2020.11.01</w:t>
      </w:r>
      <w:r w:rsidR="00BF3D25" w:rsidRPr="0092682A">
        <w:rPr>
          <w:sz w:val="22"/>
          <w:szCs w:val="22"/>
        </w:rPr>
        <w:t xml:space="preserve">.-én indult „Társadalmi együttműködés erősítése </w:t>
      </w:r>
      <w:proofErr w:type="spellStart"/>
      <w:r w:rsidR="00BF3D25" w:rsidRPr="0092682A">
        <w:rPr>
          <w:sz w:val="22"/>
          <w:szCs w:val="22"/>
        </w:rPr>
        <w:t>Lyukóvölgyben</w:t>
      </w:r>
      <w:proofErr w:type="spellEnd"/>
      <w:r w:rsidR="00BF3D25" w:rsidRPr="0092682A">
        <w:rPr>
          <w:sz w:val="22"/>
          <w:szCs w:val="22"/>
        </w:rPr>
        <w:t xml:space="preserve">” című </w:t>
      </w:r>
      <w:proofErr w:type="gramStart"/>
      <w:r w:rsidR="00BF3D25" w:rsidRPr="0092682A">
        <w:rPr>
          <w:sz w:val="22"/>
          <w:szCs w:val="22"/>
        </w:rPr>
        <w:t>projekt  2023.</w:t>
      </w:r>
      <w:proofErr w:type="gramEnd"/>
      <w:r w:rsidR="00BF3D25" w:rsidRPr="0092682A">
        <w:rPr>
          <w:sz w:val="22"/>
          <w:szCs w:val="22"/>
        </w:rPr>
        <w:t>11.30-án</w:t>
      </w:r>
      <w:r w:rsidRPr="0092682A">
        <w:rPr>
          <w:sz w:val="22"/>
          <w:szCs w:val="22"/>
        </w:rPr>
        <w:t xml:space="preserve"> 149.084 ezer forint támogatás felhasználásával</w:t>
      </w:r>
      <w:r w:rsidR="00BF3D25" w:rsidRPr="0092682A">
        <w:rPr>
          <w:sz w:val="22"/>
          <w:szCs w:val="22"/>
        </w:rPr>
        <w:t xml:space="preserve"> lezárult.</w:t>
      </w:r>
      <w:r w:rsidRPr="0092682A">
        <w:rPr>
          <w:sz w:val="22"/>
          <w:szCs w:val="22"/>
        </w:rPr>
        <w:t xml:space="preserve"> </w:t>
      </w:r>
    </w:p>
    <w:p w14:paraId="5F72C121" w14:textId="2DBF3F77" w:rsidR="007F2535" w:rsidRPr="0092682A" w:rsidRDefault="00962E19" w:rsidP="004C2DBB">
      <w:pPr>
        <w:pStyle w:val="NormlWeb"/>
        <w:spacing w:before="0" w:before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Büszkék vagyunk a projektjeinkre és bízunk benne, hogy pozitív hatással lesznek a </w:t>
      </w:r>
      <w:proofErr w:type="spellStart"/>
      <w:r w:rsidRPr="0092682A">
        <w:rPr>
          <w:sz w:val="22"/>
          <w:szCs w:val="22"/>
        </w:rPr>
        <w:t>Lyukóvölgy</w:t>
      </w:r>
      <w:proofErr w:type="spellEnd"/>
      <w:r w:rsidRPr="0092682A">
        <w:rPr>
          <w:sz w:val="22"/>
          <w:szCs w:val="22"/>
        </w:rPr>
        <w:t xml:space="preserve"> és Vasgyár közösségeire</w:t>
      </w:r>
      <w:r w:rsidR="00EB32C0" w:rsidRPr="0092682A">
        <w:rPr>
          <w:sz w:val="22"/>
          <w:szCs w:val="22"/>
        </w:rPr>
        <w:t>.</w:t>
      </w:r>
    </w:p>
    <w:p w14:paraId="61E1E766" w14:textId="33F52AAB" w:rsidR="00962E19" w:rsidRPr="0092682A" w:rsidRDefault="00EE2B1E" w:rsidP="004C2DBB">
      <w:pPr>
        <w:pStyle w:val="NormlWeb"/>
        <w:spacing w:before="0" w:beforeAutospacing="0" w:line="276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lastRenderedPageBreak/>
        <w:t>2023.</w:t>
      </w:r>
      <w:r w:rsidR="00962E19" w:rsidRPr="0092682A">
        <w:rPr>
          <w:sz w:val="22"/>
          <w:szCs w:val="22"/>
        </w:rPr>
        <w:t>03.01-én indult TOP PLUSZ pályázat</w:t>
      </w:r>
      <w:r w:rsidR="00EB32C0" w:rsidRPr="0092682A">
        <w:rPr>
          <w:sz w:val="22"/>
          <w:szCs w:val="22"/>
        </w:rPr>
        <w:t>, mely</w:t>
      </w:r>
      <w:r w:rsidR="00962E19" w:rsidRPr="0092682A">
        <w:rPr>
          <w:sz w:val="22"/>
          <w:szCs w:val="22"/>
        </w:rPr>
        <w:t xml:space="preserve"> Tokajban lehetőséget adott a Támogató szolgálat számára egy új kisbusz beszerzésére is.</w:t>
      </w:r>
    </w:p>
    <w:p w14:paraId="128641A7" w14:textId="77777777" w:rsidR="00962E19" w:rsidRPr="0092682A" w:rsidRDefault="00962E19" w:rsidP="004C2D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</w:t>
      </w:r>
      <w:proofErr w:type="gramStart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Árpád út</w:t>
      </w:r>
      <w:proofErr w:type="gramEnd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88. és Köln utcai ingatlanok energetikai felújítása során a támogatott tevékenységek között szerepel az épületek hőszigetelése, nyílászárók cseréje, fűtési rendszer korszerűsítése, valamint megújuló energiaforrások bevezetése.</w:t>
      </w:r>
    </w:p>
    <w:p w14:paraId="1D368FF9" w14:textId="701F6CE4" w:rsidR="00962E19" w:rsidRPr="0092682A" w:rsidRDefault="00962E19" w:rsidP="004C2D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ingatlanok felújítása nemcsak a</w:t>
      </w:r>
      <w:r w:rsidR="00EB32C0"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z energiamegtakarítást</w:t>
      </w: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hanem a lakók komfortérzetének növelését is szolgálja. Az energiatakarékos megoldásoknak köszönhetően a</w:t>
      </w:r>
      <w:r w:rsidR="00EB32C0"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z intézményekben</w:t>
      </w: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gramStart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stabilabb</w:t>
      </w:r>
      <w:proofErr w:type="gramEnd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hőmérséklet alakul ki, ezáltal csökken a fűtési költségek, és a lakók egészségesebb környezetben élhetnek.</w:t>
      </w:r>
    </w:p>
    <w:p w14:paraId="37CF8932" w14:textId="754892DF" w:rsidR="00EC7F81" w:rsidRPr="0092682A" w:rsidRDefault="00962E19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  <w14:ligatures w14:val="none"/>
        </w:rPr>
      </w:pPr>
      <w:r w:rsidRPr="0092682A">
        <w:rPr>
          <w:sz w:val="22"/>
          <w:szCs w:val="22"/>
          <w14:ligatures w14:val="none"/>
        </w:rPr>
        <w:t>A felújításoknak köszönhetően az ingatlanok értéke is növekedni fog, így hosszú távon is kifizetődő beruházásnak bizonyulnak</w:t>
      </w:r>
    </w:p>
    <w:p w14:paraId="7C375CDC" w14:textId="77777777" w:rsidR="00EB32C0" w:rsidRPr="0092682A" w:rsidRDefault="00EB32C0" w:rsidP="004C2DBB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D86AD8E" w14:textId="52688A3D" w:rsidR="00EB32C0" w:rsidRPr="0092682A" w:rsidRDefault="00EB32C0" w:rsidP="004C2D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hatvani intézményben – gázkazáncsere, melegvíztároló csere történt</w:t>
      </w:r>
    </w:p>
    <w:p w14:paraId="62BD1925" w14:textId="6A203613" w:rsidR="00EB32C0" w:rsidRPr="0092682A" w:rsidRDefault="00EB32C0" w:rsidP="004C2D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Belső pályázaton elnyert 750ezer Ft támogatásból, a hevesi fogyatékos intézménybe masszázsfotelt és kis sebességű futópadot tudtunk beszerezni. Reméljük, hogy ezek az eszközök hozzájárulnak az ellátottak mozgáskoordinációjának javításához.</w:t>
      </w:r>
    </w:p>
    <w:p w14:paraId="0B7A8453" w14:textId="6B8CE6AE" w:rsidR="00EB32C0" w:rsidRPr="0092682A" w:rsidRDefault="00EB32C0" w:rsidP="004C2D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Mezőkövesden és Salgótarjánban kamerarendszer kiépítés, bővítés történt 500ezer Ft</w:t>
      </w:r>
    </w:p>
    <w:p w14:paraId="083E7955" w14:textId="2195AF8D" w:rsidR="004C2DBB" w:rsidRPr="0092682A" w:rsidRDefault="00EB32C0" w:rsidP="004C2D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hevesi támogató szolgálat akadálymentesített gépjárműcseréjét</w:t>
      </w:r>
      <w:r w:rsidR="004C2DBB"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</w:t>
      </w: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pályázati </w:t>
      </w:r>
      <w:proofErr w:type="gramStart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támogatásból  sikerült</w:t>
      </w:r>
      <w:proofErr w:type="gramEnd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lecserélni </w:t>
      </w:r>
      <w:r w:rsidR="004C2DBB"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11.771ezer forint végösszegből.</w:t>
      </w:r>
    </w:p>
    <w:p w14:paraId="5FC15970" w14:textId="55A05353" w:rsidR="004C2DBB" w:rsidRPr="0092682A" w:rsidRDefault="004C2DBB" w:rsidP="004C2D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Ápolási otthonban vizesblokkok átalakítása, Egerben villamos hálózat részleges cseréje, Salgótarjáni intézményekben fűtés alapvezeték és vízvezeték cserék valósultak meg; valamint egészségügyi gépek és felszerelések beszerzése </w:t>
      </w:r>
      <w:proofErr w:type="gramStart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történt   össz</w:t>
      </w:r>
      <w:proofErr w:type="gramEnd"/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:26,5M értékben.</w:t>
      </w:r>
    </w:p>
    <w:p w14:paraId="32CD9422" w14:textId="7C0052D4" w:rsidR="00743396" w:rsidRPr="0092682A" w:rsidRDefault="004C2DBB" w:rsidP="0019211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régióközpont gépjárműállománya frissült 1 személyszállításra és egy adományszállításra alkalmas autóval.</w:t>
      </w:r>
    </w:p>
    <w:p w14:paraId="33767AD7" w14:textId="77777777" w:rsidR="0019211B" w:rsidRPr="0092682A" w:rsidRDefault="0019211B" w:rsidP="0019211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BB4D6BE" w14:textId="6A009128" w:rsidR="00743396" w:rsidRPr="0092682A" w:rsidRDefault="00743396" w:rsidP="00743396">
      <w:pPr>
        <w:pStyle w:val="NormlWeb"/>
        <w:spacing w:before="0" w:beforeAutospacing="0"/>
        <w:jc w:val="both"/>
        <w:rPr>
          <w:b/>
          <w:sz w:val="22"/>
          <w:szCs w:val="22"/>
        </w:rPr>
      </w:pPr>
      <w:r w:rsidRPr="0092682A">
        <w:rPr>
          <w:b/>
          <w:sz w:val="22"/>
          <w:szCs w:val="22"/>
        </w:rPr>
        <w:t>Költségeink</w:t>
      </w:r>
    </w:p>
    <w:p w14:paraId="32F9F672" w14:textId="4220FB21" w:rsidR="004C2DBB" w:rsidRPr="0092682A" w:rsidRDefault="004C2DBB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2023-ban a régióban 110.289 ezer </w:t>
      </w:r>
      <w:r w:rsidR="000411A0" w:rsidRPr="0092682A">
        <w:rPr>
          <w:sz w:val="22"/>
          <w:szCs w:val="22"/>
        </w:rPr>
        <w:t>Ft összegű</w:t>
      </w:r>
      <w:r w:rsidRPr="0092682A">
        <w:rPr>
          <w:sz w:val="22"/>
          <w:szCs w:val="22"/>
        </w:rPr>
        <w:t xml:space="preserve"> beruházás, felújítás történt</w:t>
      </w:r>
      <w:r w:rsidR="000411A0" w:rsidRPr="0092682A">
        <w:rPr>
          <w:sz w:val="22"/>
          <w:szCs w:val="22"/>
        </w:rPr>
        <w:t>.</w:t>
      </w:r>
    </w:p>
    <w:p w14:paraId="064EE8EC" w14:textId="68F8D9A2" w:rsidR="00433B45" w:rsidRPr="0092682A" w:rsidRDefault="00433B45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Anyagköltségek (élelmis</w:t>
      </w:r>
      <w:r w:rsidR="00743396" w:rsidRPr="0092682A">
        <w:rPr>
          <w:sz w:val="22"/>
          <w:szCs w:val="22"/>
        </w:rPr>
        <w:t xml:space="preserve">zer, gyógyszer, tisztítószer, </w:t>
      </w:r>
      <w:r w:rsidRPr="0092682A">
        <w:rPr>
          <w:sz w:val="22"/>
          <w:szCs w:val="22"/>
        </w:rPr>
        <w:t>üzemanyag</w:t>
      </w:r>
      <w:r w:rsidR="00743396" w:rsidRPr="0092682A">
        <w:rPr>
          <w:sz w:val="22"/>
          <w:szCs w:val="22"/>
        </w:rPr>
        <w:t xml:space="preserve"> és</w:t>
      </w:r>
      <w:r w:rsidRPr="0092682A">
        <w:rPr>
          <w:sz w:val="22"/>
          <w:szCs w:val="22"/>
        </w:rPr>
        <w:t xml:space="preserve"> egyéb): 279.185ezer Ft</w:t>
      </w:r>
    </w:p>
    <w:p w14:paraId="49E4236F" w14:textId="7FC0B6AC" w:rsidR="000411A0" w:rsidRPr="0092682A" w:rsidRDefault="000411A0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Áram, gáz, víz, egyéb energia felhasználás: 279.626ezer Ft</w:t>
      </w:r>
    </w:p>
    <w:p w14:paraId="1718497B" w14:textId="234E29A6" w:rsidR="000411A0" w:rsidRPr="0092682A" w:rsidRDefault="000411A0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Karbantartásra fordított költségek: 38.046ezer Ft</w:t>
      </w:r>
    </w:p>
    <w:p w14:paraId="103CF508" w14:textId="1E02895B" w:rsidR="000411A0" w:rsidRPr="0092682A" w:rsidRDefault="00433B45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K</w:t>
      </w:r>
      <w:r w:rsidR="000411A0" w:rsidRPr="0092682A">
        <w:rPr>
          <w:sz w:val="22"/>
          <w:szCs w:val="22"/>
        </w:rPr>
        <w:t xml:space="preserve">özüzemi és üzemeltetési költségek: </w:t>
      </w:r>
      <w:r w:rsidRPr="0092682A">
        <w:rPr>
          <w:sz w:val="22"/>
          <w:szCs w:val="22"/>
        </w:rPr>
        <w:t>63.318ezer</w:t>
      </w:r>
      <w:r w:rsidR="000411A0" w:rsidRPr="0092682A">
        <w:rPr>
          <w:sz w:val="22"/>
          <w:szCs w:val="22"/>
        </w:rPr>
        <w:t xml:space="preserve"> Ft</w:t>
      </w:r>
    </w:p>
    <w:p w14:paraId="6C06CFF7" w14:textId="1DF6B1BE" w:rsidR="000411A0" w:rsidRPr="0092682A" w:rsidRDefault="000411A0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Feladatellátással kapcsolatos szolgáltatások: 202.585</w:t>
      </w:r>
      <w:r w:rsidR="00433B45" w:rsidRPr="0092682A">
        <w:rPr>
          <w:sz w:val="22"/>
          <w:szCs w:val="22"/>
        </w:rPr>
        <w:t>ezer</w:t>
      </w:r>
      <w:r w:rsidRPr="0092682A">
        <w:rPr>
          <w:sz w:val="22"/>
          <w:szCs w:val="22"/>
        </w:rPr>
        <w:t xml:space="preserve"> Ft</w:t>
      </w:r>
    </w:p>
    <w:p w14:paraId="69C31E1C" w14:textId="2DC0901B" w:rsidR="000411A0" w:rsidRPr="0092682A" w:rsidRDefault="000411A0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Munkabérek, személyi jellegű kifizetések: 2.172.417ezer Ft</w:t>
      </w:r>
    </w:p>
    <w:p w14:paraId="4F653114" w14:textId="48A0555B" w:rsidR="001E4826" w:rsidRPr="0092682A" w:rsidRDefault="001E4826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Természetbeni adományok kiosztás: 263.283ezer Ft értékben</w:t>
      </w:r>
    </w:p>
    <w:p w14:paraId="1DBD1F29" w14:textId="7FCD54D2" w:rsidR="007F2535" w:rsidRPr="0092682A" w:rsidRDefault="001E4826" w:rsidP="0092682A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Adományok intézményi felhasználásra: 67.031 Ft</w:t>
      </w:r>
    </w:p>
    <w:p w14:paraId="28624837" w14:textId="784B11BB" w:rsidR="000411A0" w:rsidRPr="0092682A" w:rsidRDefault="00433B45" w:rsidP="00743396">
      <w:pPr>
        <w:pStyle w:val="NormlWeb"/>
        <w:spacing w:before="0" w:beforeAutospacing="0"/>
        <w:jc w:val="both"/>
        <w:rPr>
          <w:b/>
          <w:sz w:val="22"/>
          <w:szCs w:val="22"/>
        </w:rPr>
      </w:pPr>
      <w:r w:rsidRPr="0092682A">
        <w:rPr>
          <w:b/>
          <w:sz w:val="22"/>
          <w:szCs w:val="22"/>
        </w:rPr>
        <w:t>Bevételeink alakulása</w:t>
      </w:r>
      <w:r w:rsidR="00743396" w:rsidRPr="0092682A">
        <w:rPr>
          <w:b/>
          <w:sz w:val="22"/>
          <w:szCs w:val="22"/>
        </w:rPr>
        <w:t xml:space="preserve"> </w:t>
      </w:r>
    </w:p>
    <w:p w14:paraId="7A3E3A75" w14:textId="38480D1D" w:rsidR="00EB32C0" w:rsidRPr="0092682A" w:rsidRDefault="00433B45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Intézményi térítési díjak: 762.864ezer Ft</w:t>
      </w:r>
    </w:p>
    <w:p w14:paraId="3F2BDEC9" w14:textId="09121362" w:rsidR="00433B45" w:rsidRPr="0092682A" w:rsidRDefault="00433B45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Intézményi Normatív jellegű bevételek: 1.722.240ezer Ft</w:t>
      </w:r>
    </w:p>
    <w:p w14:paraId="157E52B2" w14:textId="58BFC619" w:rsidR="00433B45" w:rsidRPr="0092682A" w:rsidRDefault="00433B45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NEAK bevétel: 321.510ezer Ft</w:t>
      </w:r>
    </w:p>
    <w:p w14:paraId="501F8ABE" w14:textId="3F2D8BC7" w:rsidR="00433B45" w:rsidRPr="0092682A" w:rsidRDefault="00433B45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Állami költségvetéssel elszámolt bevételek: 169.821ezer Ft</w:t>
      </w:r>
    </w:p>
    <w:p w14:paraId="51582776" w14:textId="635EA71A" w:rsidR="00433B45" w:rsidRPr="0092682A" w:rsidRDefault="00433B45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 xml:space="preserve">Pályázati bevételek: </w:t>
      </w:r>
      <w:r w:rsidR="001E4826" w:rsidRPr="0092682A">
        <w:rPr>
          <w:sz w:val="22"/>
          <w:szCs w:val="22"/>
        </w:rPr>
        <w:t>298.993ezer Ft</w:t>
      </w:r>
    </w:p>
    <w:p w14:paraId="413D8290" w14:textId="62B8465F" w:rsidR="001E4826" w:rsidRPr="0092682A" w:rsidRDefault="001E4826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Pénzbeli adományok: 6.534ezer Ft</w:t>
      </w:r>
    </w:p>
    <w:p w14:paraId="37BE45DE" w14:textId="574848A3" w:rsidR="004C2DBB" w:rsidRPr="0092682A" w:rsidRDefault="001E4826" w:rsidP="00743396">
      <w:pPr>
        <w:pStyle w:val="Norm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Egyéb bevételek: 3.562ezer Ft</w:t>
      </w:r>
    </w:p>
    <w:p w14:paraId="0B2E05A6" w14:textId="072FF367" w:rsidR="004C2DBB" w:rsidRPr="0092682A" w:rsidRDefault="001E4826" w:rsidP="004C2DBB">
      <w:pPr>
        <w:pStyle w:val="NormlWeb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Pénzeszköz állományunk 2023.12.31-én: 896.683.077 Ft</w:t>
      </w:r>
      <w:r w:rsidR="00743396" w:rsidRPr="0092682A">
        <w:rPr>
          <w:sz w:val="22"/>
          <w:szCs w:val="22"/>
        </w:rPr>
        <w:t xml:space="preserve"> volt.</w:t>
      </w:r>
    </w:p>
    <w:p w14:paraId="05345854" w14:textId="7D514B7A" w:rsidR="004C2DBB" w:rsidRPr="0092682A" w:rsidRDefault="00743396" w:rsidP="004C2DBB">
      <w:pPr>
        <w:pStyle w:val="NormlWeb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Munkatársak létszáma 2023-ban: 425 fő</w:t>
      </w:r>
    </w:p>
    <w:p w14:paraId="4944470D" w14:textId="554635D0" w:rsidR="00EB32C0" w:rsidRPr="0092682A" w:rsidRDefault="00743396" w:rsidP="004C2DBB">
      <w:pPr>
        <w:pStyle w:val="NormlWeb"/>
        <w:jc w:val="both"/>
        <w:rPr>
          <w:sz w:val="22"/>
          <w:szCs w:val="22"/>
        </w:rPr>
      </w:pPr>
      <w:r w:rsidRPr="0092682A">
        <w:rPr>
          <w:sz w:val="22"/>
          <w:szCs w:val="22"/>
        </w:rPr>
        <w:t>Tanuló: 23 fő</w:t>
      </w:r>
    </w:p>
    <w:p w14:paraId="4EBB3358" w14:textId="77777777" w:rsidR="001B605E" w:rsidRPr="0092682A" w:rsidRDefault="001B605E" w:rsidP="001B605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F33497A" w14:textId="77777777" w:rsidR="007F2535" w:rsidRPr="0092682A" w:rsidRDefault="007F2535" w:rsidP="001B605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9B9C900" w14:textId="77777777" w:rsidR="007F2535" w:rsidRPr="0092682A" w:rsidRDefault="007F2535" w:rsidP="001B605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2250DEE" w14:textId="77777777" w:rsidR="007F2535" w:rsidRPr="0092682A" w:rsidRDefault="007F2535" w:rsidP="001B605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EAD96A6" w14:textId="3760A84B" w:rsidR="001B605E" w:rsidRPr="0092682A" w:rsidRDefault="001B605E" w:rsidP="001B605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2682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régió segítőkész munkatársai kiemelkedő munkát és önkénteseink hatalmas segítséget nyújtanak a mindennapi munkánk során, erőfeszítéseik nagy hatással vannak a velünk élő emberek életére. Számos területen nyújtunk segítséget és támogatást, s folyamatosan igyekszünk fejleszteni és bővíteni szolgáltatásainkat. </w:t>
      </w:r>
    </w:p>
    <w:p w14:paraId="58C3F9E7" w14:textId="4F83F7B9" w:rsidR="004A4302" w:rsidRPr="0092682A" w:rsidRDefault="001B605E" w:rsidP="004C2DBB">
      <w:pPr>
        <w:pStyle w:val="NormlWeb"/>
        <w:jc w:val="both"/>
        <w:rPr>
          <w:sz w:val="20"/>
          <w:szCs w:val="20"/>
        </w:rPr>
      </w:pPr>
      <w:r w:rsidRPr="0092682A">
        <w:rPr>
          <w:sz w:val="20"/>
          <w:szCs w:val="20"/>
          <w14:ligatures w14:val="none"/>
        </w:rPr>
        <w:t>A régió lakói számára lehetőségeket kínálunk minden korosztály számára, és nagy hangsúlyt fektetünk a közösségi összetartozás és jólét előmozdítására</w:t>
      </w:r>
    </w:p>
    <w:p w14:paraId="47E2B351" w14:textId="21B5E9A1" w:rsidR="004A4302" w:rsidRDefault="004A4302" w:rsidP="004C2DBB">
      <w:pPr>
        <w:pStyle w:val="NormlWeb"/>
        <w:jc w:val="both"/>
      </w:pPr>
      <w:r>
        <w:rPr>
          <w:noProof/>
        </w:rPr>
        <w:drawing>
          <wp:inline distT="0" distB="0" distL="0" distR="0" wp14:anchorId="7F477184" wp14:editId="4EE41365">
            <wp:extent cx="6572250" cy="21907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BA75C2" w14:textId="041288CB" w:rsidR="004A4302" w:rsidRDefault="00F30B68" w:rsidP="004C2DBB">
      <w:pPr>
        <w:pStyle w:val="NormlWeb"/>
        <w:jc w:val="both"/>
      </w:pPr>
      <w:r>
        <w:rPr>
          <w:noProof/>
        </w:rPr>
        <w:drawing>
          <wp:inline distT="0" distB="0" distL="0" distR="0" wp14:anchorId="48AACDE0" wp14:editId="5DEFA211">
            <wp:extent cx="6600825" cy="2514600"/>
            <wp:effectExtent l="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CB60B0" w14:textId="1012CFFA" w:rsidR="00906DB6" w:rsidRPr="007F2535" w:rsidRDefault="00746180" w:rsidP="007F2535">
      <w:pPr>
        <w:pStyle w:val="NormlWeb"/>
        <w:jc w:val="both"/>
      </w:pPr>
      <w:r>
        <w:rPr>
          <w:noProof/>
        </w:rPr>
        <w:drawing>
          <wp:inline distT="0" distB="0" distL="0" distR="0" wp14:anchorId="30502DDF" wp14:editId="1A7C59A8">
            <wp:extent cx="6572250" cy="264795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06DB6" w:rsidRPr="007F2535" w:rsidSect="00F30B68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7114"/>
    <w:multiLevelType w:val="hybridMultilevel"/>
    <w:tmpl w:val="5E8A5C22"/>
    <w:lvl w:ilvl="0" w:tplc="9878A7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AC8"/>
    <w:multiLevelType w:val="multilevel"/>
    <w:tmpl w:val="E4E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73059"/>
    <w:multiLevelType w:val="multilevel"/>
    <w:tmpl w:val="068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007E2"/>
    <w:multiLevelType w:val="hybridMultilevel"/>
    <w:tmpl w:val="1DCC67A8"/>
    <w:lvl w:ilvl="0" w:tplc="056A2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45FF9"/>
    <w:multiLevelType w:val="multilevel"/>
    <w:tmpl w:val="2066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B0313"/>
    <w:multiLevelType w:val="multilevel"/>
    <w:tmpl w:val="2E4809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81"/>
    <w:rsid w:val="000411A0"/>
    <w:rsid w:val="000855B0"/>
    <w:rsid w:val="000F0C2D"/>
    <w:rsid w:val="00120A76"/>
    <w:rsid w:val="00126265"/>
    <w:rsid w:val="00170DEB"/>
    <w:rsid w:val="0019211B"/>
    <w:rsid w:val="001B605E"/>
    <w:rsid w:val="001E4826"/>
    <w:rsid w:val="001F4514"/>
    <w:rsid w:val="002038B8"/>
    <w:rsid w:val="0025270F"/>
    <w:rsid w:val="0026522D"/>
    <w:rsid w:val="002A162B"/>
    <w:rsid w:val="0031613A"/>
    <w:rsid w:val="0031687E"/>
    <w:rsid w:val="003E679A"/>
    <w:rsid w:val="00433B45"/>
    <w:rsid w:val="0047691C"/>
    <w:rsid w:val="004A4302"/>
    <w:rsid w:val="004B5462"/>
    <w:rsid w:val="004C2DBB"/>
    <w:rsid w:val="004D389C"/>
    <w:rsid w:val="00574633"/>
    <w:rsid w:val="005A0961"/>
    <w:rsid w:val="00642D31"/>
    <w:rsid w:val="00695AA8"/>
    <w:rsid w:val="006A4BBD"/>
    <w:rsid w:val="0074286B"/>
    <w:rsid w:val="00743396"/>
    <w:rsid w:val="00746180"/>
    <w:rsid w:val="00763443"/>
    <w:rsid w:val="007F2535"/>
    <w:rsid w:val="008515FE"/>
    <w:rsid w:val="00906DB6"/>
    <w:rsid w:val="0092682A"/>
    <w:rsid w:val="00955F53"/>
    <w:rsid w:val="00962E19"/>
    <w:rsid w:val="00963BA8"/>
    <w:rsid w:val="009801E4"/>
    <w:rsid w:val="009A4E15"/>
    <w:rsid w:val="009A5066"/>
    <w:rsid w:val="00AC2EF2"/>
    <w:rsid w:val="00B02B08"/>
    <w:rsid w:val="00B31719"/>
    <w:rsid w:val="00BD6A48"/>
    <w:rsid w:val="00BF3D25"/>
    <w:rsid w:val="00C21529"/>
    <w:rsid w:val="00C6289A"/>
    <w:rsid w:val="00CA156F"/>
    <w:rsid w:val="00CB4225"/>
    <w:rsid w:val="00CE7FC6"/>
    <w:rsid w:val="00D03EF3"/>
    <w:rsid w:val="00D0733C"/>
    <w:rsid w:val="00D16EC6"/>
    <w:rsid w:val="00DD0C67"/>
    <w:rsid w:val="00E720E5"/>
    <w:rsid w:val="00EB32C0"/>
    <w:rsid w:val="00EC7F81"/>
    <w:rsid w:val="00ED3A69"/>
    <w:rsid w:val="00EE2B1E"/>
    <w:rsid w:val="00F06F28"/>
    <w:rsid w:val="00F30B68"/>
    <w:rsid w:val="00F51955"/>
    <w:rsid w:val="00F90DD3"/>
    <w:rsid w:val="00FA3341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C517"/>
  <w15:chartTrackingRefBased/>
  <w15:docId w15:val="{5265A67F-6AD1-40C8-B193-E5ACD8F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7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7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7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7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7F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7F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7F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7F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7F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7F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7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7F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7F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7F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7F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7F8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E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06DB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15.0.49\munkaugy\H%20ANDI\HegyesAndi\BESZ&#193;MOL&#211;\besz\2023\besz&#225;mol&#243;%202023\K55%20-%20F&#246;k&#246;nyvi%20kivonat_20240416_20120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15.0.49\munkaugy\H%20ANDI\HegyesAndi\BESZ&#193;MOL&#211;\besz\2023\besz&#225;mol&#243;%202023\K55%20-%20F&#246;k&#246;nyvi%20kivonat_20240416_20120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15.0.49\munkaugy\H%20ANDI\HegyesAndi\BESZ&#193;MOL&#211;\besz\2023\besz&#225;mol&#243;%202023\K55%20-%20F&#246;k&#246;nyvi%20kivonat_20240416_20120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202</a:t>
            </a:r>
            <a:r>
              <a:rPr lang="hu-HU"/>
              <a:t>3 Anyagköltségek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1469745143645656E-2"/>
          <c:w val="0.93861721632622008"/>
          <c:h val="0.7145233268605651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F80-45BE-87E1-0F954C0B904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F80-45BE-87E1-0F954C0B904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F80-45BE-87E1-0F954C0B904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F80-45BE-87E1-0F954C0B904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F80-45BE-87E1-0F954C0B904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F80-45BE-87E1-0F954C0B904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F80-45BE-87E1-0F954C0B904E}"/>
              </c:ext>
            </c:extLst>
          </c:dPt>
          <c:cat>
            <c:strRef>
              <c:f>Munka3!$A$1:$A$7</c:f>
              <c:strCache>
                <c:ptCount val="7"/>
                <c:pt idx="0">
                  <c:v>Irodaszer, nyomtatvány</c:v>
                </c:pt>
                <c:pt idx="1">
                  <c:v>Tisztító- és tisztálkodási szerek</c:v>
                </c:pt>
                <c:pt idx="2">
                  <c:v>Élelmiszer alapanyagok</c:v>
                </c:pt>
                <c:pt idx="3">
                  <c:v>Gyógyszerek, egészségügyi anyagok</c:v>
                </c:pt>
                <c:pt idx="4">
                  <c:v>Üzemanyag költség</c:v>
                </c:pt>
                <c:pt idx="5">
                  <c:v>Egyéb anyagköltségek</c:v>
                </c:pt>
                <c:pt idx="6">
                  <c:v>Karbantartási anyagok</c:v>
                </c:pt>
              </c:strCache>
            </c:strRef>
          </c:cat>
          <c:val>
            <c:numRef>
              <c:f>Munka3!$B$1:$B$7</c:f>
              <c:numCache>
                <c:formatCode>#,##0</c:formatCode>
                <c:ptCount val="7"/>
                <c:pt idx="0">
                  <c:v>4090669</c:v>
                </c:pt>
                <c:pt idx="1">
                  <c:v>29389838</c:v>
                </c:pt>
                <c:pt idx="2">
                  <c:v>165979050</c:v>
                </c:pt>
                <c:pt idx="3">
                  <c:v>38918191</c:v>
                </c:pt>
                <c:pt idx="4">
                  <c:v>14213376</c:v>
                </c:pt>
                <c:pt idx="5">
                  <c:v>30684500</c:v>
                </c:pt>
                <c:pt idx="6">
                  <c:v>10426555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F80-45BE-87E1-0F954C0B9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2023 Rezsiköltségek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704-4E56-9EB9-EDC0981516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704-4E56-9EB9-EDC0981516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704-4E56-9EB9-EDC0981516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704-4E56-9EB9-EDC09815167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704-4E56-9EB9-EDC09815167E}"/>
              </c:ext>
            </c:extLst>
          </c:dPt>
          <c:cat>
            <c:strRef>
              <c:f>Munka2!$B$1:$B$5</c:f>
              <c:strCache>
                <c:ptCount val="5"/>
                <c:pt idx="0">
                  <c:v>Elektromos áram felhasználás költsége</c:v>
                </c:pt>
                <c:pt idx="1">
                  <c:v>Gáz fütőanyag felhasználás költsége</c:v>
                </c:pt>
                <c:pt idx="2">
                  <c:v>Egyéb energia felhasználás költsége</c:v>
                </c:pt>
                <c:pt idx="3">
                  <c:v>Víz-, csatornadíj</c:v>
                </c:pt>
                <c:pt idx="4">
                  <c:v>Távfűtési díj</c:v>
                </c:pt>
              </c:strCache>
            </c:strRef>
          </c:cat>
          <c:val>
            <c:numRef>
              <c:f>Munka2!$C$1:$C$5</c:f>
              <c:numCache>
                <c:formatCode>#,##0</c:formatCode>
                <c:ptCount val="5"/>
                <c:pt idx="0">
                  <c:v>133353509</c:v>
                </c:pt>
                <c:pt idx="1">
                  <c:v>109944191</c:v>
                </c:pt>
                <c:pt idx="2">
                  <c:v>8292891</c:v>
                </c:pt>
                <c:pt idx="3">
                  <c:v>28035185</c:v>
                </c:pt>
                <c:pt idx="4">
                  <c:v>28607409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704-4E56-9EB9-EDC098151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u-HU"/>
              <a:t>2020-2023 Áram és gázköltség alakulása (Ft)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Munka4!$A$2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Munka4!$B$1:$C$1</c:f>
              <c:strCache>
                <c:ptCount val="2"/>
                <c:pt idx="0">
                  <c:v>Áram</c:v>
                </c:pt>
                <c:pt idx="1">
                  <c:v>Gáz</c:v>
                </c:pt>
              </c:strCache>
            </c:strRef>
          </c:cat>
          <c:val>
            <c:numRef>
              <c:f>Munka4!$B$2:$C$2</c:f>
              <c:numCache>
                <c:formatCode>#,##0</c:formatCode>
                <c:ptCount val="2"/>
                <c:pt idx="0">
                  <c:v>19014000</c:v>
                </c:pt>
                <c:pt idx="1">
                  <c:v>23737000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19-4E5D-9AD5-D81D50863A64}"/>
            </c:ext>
          </c:extLst>
        </c:ser>
        <c:ser>
          <c:idx val="1"/>
          <c:order val="1"/>
          <c:tx>
            <c:strRef>
              <c:f>Munka4!$A$3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Munka4!$B$1:$C$1</c:f>
              <c:strCache>
                <c:ptCount val="2"/>
                <c:pt idx="0">
                  <c:v>Áram</c:v>
                </c:pt>
                <c:pt idx="1">
                  <c:v>Gáz</c:v>
                </c:pt>
              </c:strCache>
            </c:strRef>
          </c:cat>
          <c:val>
            <c:numRef>
              <c:f>Munka4!$B$3:$C$3</c:f>
              <c:numCache>
                <c:formatCode>#,##0</c:formatCode>
                <c:ptCount val="2"/>
                <c:pt idx="0">
                  <c:v>20586000</c:v>
                </c:pt>
                <c:pt idx="1">
                  <c:v>34815000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19-4E5D-9AD5-D81D50863A64}"/>
            </c:ext>
          </c:extLst>
        </c:ser>
        <c:ser>
          <c:idx val="2"/>
          <c:order val="2"/>
          <c:tx>
            <c:strRef>
              <c:f>Munka4!$A$4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Munka4!$B$1:$C$1</c:f>
              <c:strCache>
                <c:ptCount val="2"/>
                <c:pt idx="0">
                  <c:v>Áram</c:v>
                </c:pt>
                <c:pt idx="1">
                  <c:v>Gáz</c:v>
                </c:pt>
              </c:strCache>
            </c:strRef>
          </c:cat>
          <c:val>
            <c:numRef>
              <c:f>Munka4!$B$4:$C$4</c:f>
              <c:numCache>
                <c:formatCode>#,##0</c:formatCode>
                <c:ptCount val="2"/>
                <c:pt idx="0">
                  <c:v>25796000</c:v>
                </c:pt>
                <c:pt idx="1">
                  <c:v>83906000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19-4E5D-9AD5-D81D50863A64}"/>
            </c:ext>
          </c:extLst>
        </c:ser>
        <c:ser>
          <c:idx val="3"/>
          <c:order val="3"/>
          <c:tx>
            <c:strRef>
              <c:f>Munka4!$A$5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Munka4!$B$1:$C$1</c:f>
              <c:strCache>
                <c:ptCount val="2"/>
                <c:pt idx="0">
                  <c:v>Áram</c:v>
                </c:pt>
                <c:pt idx="1">
                  <c:v>Gáz</c:v>
                </c:pt>
              </c:strCache>
            </c:strRef>
          </c:cat>
          <c:val>
            <c:numRef>
              <c:f>Munka4!$B$5:$C$5</c:f>
              <c:numCache>
                <c:formatCode>#,##0</c:formatCode>
                <c:ptCount val="2"/>
                <c:pt idx="0">
                  <c:v>133354000</c:v>
                </c:pt>
                <c:pt idx="1">
                  <c:v>109944000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19-4E5D-9AD5-D81D50863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21678847"/>
        <c:axId val="1721680511"/>
      </c:barChart>
      <c:catAx>
        <c:axId val="172167884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21680511"/>
        <c:crosses val="autoZero"/>
        <c:auto val="1"/>
        <c:lblAlgn val="ctr"/>
        <c:lblOffset val="100"/>
        <c:noMultiLvlLbl val="0"/>
      </c:catAx>
      <c:valAx>
        <c:axId val="172168051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72167884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Hegyes Andrea</dc:creator>
  <cp:keywords/>
  <dc:description/>
  <cp:lastModifiedBy>User</cp:lastModifiedBy>
  <cp:revision>2</cp:revision>
  <cp:lastPrinted>2024-04-18T08:30:00Z</cp:lastPrinted>
  <dcterms:created xsi:type="dcterms:W3CDTF">2024-04-19T11:30:00Z</dcterms:created>
  <dcterms:modified xsi:type="dcterms:W3CDTF">2024-04-19T11:30:00Z</dcterms:modified>
</cp:coreProperties>
</file>